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6B6EB" w14:textId="15131FB4" w:rsidR="00AE0CC6" w:rsidRPr="00E847D0" w:rsidRDefault="00AE0CC6" w:rsidP="00154FF8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</w:t>
      </w:r>
      <w:r w:rsidR="00791540">
        <w:rPr>
          <w:rFonts w:ascii="Arial" w:hAnsi="Arial" w:cs="Arial"/>
          <w:b/>
          <w:bCs/>
        </w:rPr>
        <w:t>2</w:t>
      </w:r>
      <w:r w:rsidR="009F6A2F">
        <w:rPr>
          <w:rFonts w:ascii="Arial" w:hAnsi="Arial" w:cs="Arial"/>
          <w:b/>
          <w:bCs/>
        </w:rPr>
        <w:t>-e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342ED5">
        <w:rPr>
          <w:rFonts w:ascii="Arial" w:hAnsi="Arial" w:cs="Arial"/>
          <w:b/>
          <w:bCs/>
        </w:rPr>
        <w:t>R1-</w:t>
      </w:r>
      <w:r w:rsidR="00627F77" w:rsidRPr="00D405D0">
        <w:rPr>
          <w:rFonts w:ascii="Arial" w:hAnsi="Arial" w:cs="Arial"/>
          <w:b/>
          <w:bCs/>
        </w:rPr>
        <w:t>200</w:t>
      </w:r>
      <w:r w:rsidR="00D405D0" w:rsidRPr="00D405D0">
        <w:rPr>
          <w:rFonts w:ascii="Arial" w:hAnsi="Arial" w:cs="Arial"/>
          <w:b/>
          <w:bCs/>
        </w:rPr>
        <w:t>6488</w:t>
      </w:r>
    </w:p>
    <w:p w14:paraId="67B40BD8" w14:textId="1E2E766A" w:rsidR="00AE0CC6" w:rsidRPr="00791540" w:rsidRDefault="00791540" w:rsidP="00AE0CC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791540">
        <w:rPr>
          <w:rFonts w:ascii="Arial" w:eastAsia="MS Mincho" w:hAnsi="Arial" w:cs="Arial"/>
          <w:b/>
          <w:bCs/>
          <w:szCs w:val="22"/>
          <w:lang w:eastAsia="ja-JP"/>
        </w:rPr>
        <w:t>e-Meeting, August 17</w:t>
      </w:r>
      <w:r w:rsidRPr="00791540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791540">
        <w:rPr>
          <w:rFonts w:ascii="Arial" w:eastAsia="MS Mincho" w:hAnsi="Arial" w:cs="Arial"/>
          <w:b/>
          <w:bCs/>
          <w:szCs w:val="22"/>
          <w:lang w:eastAsia="ja-JP"/>
        </w:rPr>
        <w:t xml:space="preserve"> – 28</w:t>
      </w:r>
      <w:r w:rsidRPr="00791540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791540">
        <w:rPr>
          <w:rFonts w:ascii="Arial" w:eastAsia="MS Mincho" w:hAnsi="Arial" w:cs="Arial"/>
          <w:b/>
          <w:bCs/>
          <w:szCs w:val="22"/>
          <w:lang w:eastAsia="ja-JP"/>
        </w:rPr>
        <w:t>, 2020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2C92F4AB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7.2.</w:t>
      </w:r>
      <w:r w:rsidR="002738F9">
        <w:rPr>
          <w:sz w:val="22"/>
          <w:szCs w:val="22"/>
        </w:rPr>
        <w:t>5</w:t>
      </w:r>
      <w:r w:rsidR="00AD1997">
        <w:rPr>
          <w:sz w:val="22"/>
          <w:szCs w:val="22"/>
        </w:rPr>
        <w:t>.</w:t>
      </w:r>
      <w:r w:rsidR="00C07A2A">
        <w:rPr>
          <w:sz w:val="22"/>
          <w:szCs w:val="22"/>
        </w:rPr>
        <w:t>2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1DD9D23F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C07A2A" w:rsidRPr="00C07A2A">
        <w:rPr>
          <w:sz w:val="22"/>
          <w:szCs w:val="22"/>
        </w:rPr>
        <w:t>Remaining Issues on UCI Enhancements for eURLLC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6CE4DC77" w14:textId="3A7A820A" w:rsidR="0042491A" w:rsidRPr="00950264" w:rsidRDefault="00B706ED" w:rsidP="00AD4E02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 w:rsidRPr="00112818">
        <w:rPr>
          <w:sz w:val="22"/>
          <w:szCs w:val="22"/>
        </w:rPr>
        <w:t>In this contribution, we discuss</w:t>
      </w:r>
      <w:r w:rsidR="00D405D0">
        <w:rPr>
          <w:sz w:val="22"/>
          <w:szCs w:val="22"/>
        </w:rPr>
        <w:t xml:space="preserve"> whether to support</w:t>
      </w:r>
      <w:r w:rsidRPr="00112818">
        <w:rPr>
          <w:sz w:val="22"/>
          <w:szCs w:val="22"/>
        </w:rPr>
        <w:t xml:space="preserve"> </w:t>
      </w:r>
      <w:r w:rsidR="00D405D0">
        <w:rPr>
          <w:sz w:val="22"/>
          <w:szCs w:val="22"/>
        </w:rPr>
        <w:t>Type-1 HARQ-ACK codebook for sub-slot-based HARQ-ACK feedback in</w:t>
      </w:r>
      <w:r w:rsidR="00F474AC" w:rsidRPr="00112818">
        <w:rPr>
          <w:sz w:val="22"/>
          <w:szCs w:val="22"/>
        </w:rPr>
        <w:t xml:space="preserve"> Rel-16</w:t>
      </w:r>
      <w:r w:rsidR="00D405D0">
        <w:rPr>
          <w:sz w:val="22"/>
          <w:szCs w:val="22"/>
        </w:rPr>
        <w:t>.</w:t>
      </w:r>
    </w:p>
    <w:p w14:paraId="022777CA" w14:textId="6EDA9A98" w:rsidR="00041988" w:rsidRDefault="00F474AC" w:rsidP="00702BAF">
      <w:pPr>
        <w:pStyle w:val="Heading1"/>
        <w:jc w:val="both"/>
      </w:pPr>
      <w:r>
        <w:t>Type</w:t>
      </w:r>
      <w:r w:rsidR="00E438A0">
        <w:t>-1</w:t>
      </w:r>
      <w:r>
        <w:t xml:space="preserve"> HARQ-ACK codebook for sub-slot</w:t>
      </w:r>
      <w:r w:rsidR="00D405D0">
        <w:t>-based</w:t>
      </w:r>
      <w:r>
        <w:t xml:space="preserve"> HARQ</w:t>
      </w:r>
      <w:r w:rsidR="00D405D0">
        <w:t>-</w:t>
      </w:r>
      <w:r>
        <w:t>ACK</w:t>
      </w:r>
      <w:r w:rsidR="00D405D0">
        <w:t xml:space="preserve"> feedback</w:t>
      </w:r>
    </w:p>
    <w:p w14:paraId="02B9B227" w14:textId="161AAABF" w:rsidR="00F474AC" w:rsidRPr="00112818" w:rsidRDefault="00ED6BF0" w:rsidP="00F474AC">
      <w:pPr>
        <w:tabs>
          <w:tab w:val="left" w:pos="640"/>
        </w:tabs>
        <w:jc w:val="both"/>
        <w:rPr>
          <w:rFonts w:eastAsia="Batang"/>
          <w:iCs/>
          <w:color w:val="000000"/>
          <w:kern w:val="2"/>
          <w:sz w:val="22"/>
          <w:szCs w:val="22"/>
        </w:rPr>
      </w:pPr>
      <w:r w:rsidRPr="00ED6BF0">
        <w:rPr>
          <w:rFonts w:eastAsia="Batang"/>
          <w:iCs/>
          <w:color w:val="000000"/>
          <w:kern w:val="2"/>
          <w:sz w:val="22"/>
          <w:szCs w:val="22"/>
        </w:rPr>
        <w:t xml:space="preserve">Type-1 HARQ-ACK codebook for sub-slot-based HARQ-ACK feedback </w:t>
      </w:r>
      <w:r w:rsidR="003B17AB">
        <w:rPr>
          <w:rFonts w:eastAsia="Batang"/>
          <w:iCs/>
          <w:color w:val="000000"/>
          <w:kern w:val="2"/>
          <w:sz w:val="22"/>
          <w:szCs w:val="22"/>
        </w:rPr>
        <w:t xml:space="preserve">has been discussed in a few meetings in the </w:t>
      </w:r>
      <w:proofErr w:type="spellStart"/>
      <w:r>
        <w:rPr>
          <w:rFonts w:eastAsia="Batang"/>
          <w:iCs/>
          <w:color w:val="000000"/>
          <w:kern w:val="2"/>
          <w:sz w:val="22"/>
          <w:szCs w:val="22"/>
        </w:rPr>
        <w:t>eURLLC</w:t>
      </w:r>
      <w:proofErr w:type="spellEnd"/>
      <w:r>
        <w:rPr>
          <w:rFonts w:eastAsia="Batang"/>
          <w:iCs/>
          <w:color w:val="000000"/>
          <w:kern w:val="2"/>
          <w:sz w:val="22"/>
          <w:szCs w:val="22"/>
        </w:rPr>
        <w:t xml:space="preserve"> </w:t>
      </w:r>
      <w:r w:rsidR="003B17AB">
        <w:rPr>
          <w:rFonts w:eastAsia="Batang"/>
          <w:iCs/>
          <w:color w:val="000000"/>
          <w:kern w:val="2"/>
          <w:sz w:val="22"/>
          <w:szCs w:val="22"/>
        </w:rPr>
        <w:t xml:space="preserve">CR phase, without any conclusion reached so far. As we are really </w:t>
      </w:r>
      <w:r>
        <w:rPr>
          <w:rFonts w:eastAsia="Batang"/>
          <w:iCs/>
          <w:color w:val="000000"/>
          <w:kern w:val="2"/>
          <w:sz w:val="22"/>
          <w:szCs w:val="22"/>
        </w:rPr>
        <w:t>in a very late stage even for the CR phase, w</w:t>
      </w:r>
      <w:r w:rsidR="00B526EB">
        <w:rPr>
          <w:rFonts w:eastAsia="Batang"/>
          <w:iCs/>
          <w:color w:val="000000"/>
          <w:kern w:val="2"/>
          <w:sz w:val="22"/>
          <w:szCs w:val="22"/>
        </w:rPr>
        <w:t xml:space="preserve">e </w:t>
      </w:r>
      <w:r>
        <w:rPr>
          <w:rFonts w:eastAsia="Batang"/>
          <w:iCs/>
          <w:color w:val="000000"/>
          <w:kern w:val="2"/>
          <w:sz w:val="22"/>
          <w:szCs w:val="22"/>
        </w:rPr>
        <w:t>should</w:t>
      </w:r>
      <w:r w:rsidR="00F474AC" w:rsidRPr="00112818">
        <w:rPr>
          <w:rFonts w:eastAsia="Batang"/>
          <w:iCs/>
          <w:color w:val="000000"/>
          <w:kern w:val="2"/>
          <w:sz w:val="22"/>
          <w:szCs w:val="22"/>
        </w:rPr>
        <w:t xml:space="preserve"> finalize the decision</w:t>
      </w:r>
      <w:r w:rsidR="006142C5">
        <w:rPr>
          <w:rFonts w:eastAsia="Batang"/>
          <w:iCs/>
          <w:color w:val="000000"/>
          <w:kern w:val="2"/>
          <w:sz w:val="22"/>
          <w:szCs w:val="22"/>
        </w:rPr>
        <w:t xml:space="preserve"> soon</w:t>
      </w:r>
      <w:r w:rsidR="00F474AC" w:rsidRPr="00112818">
        <w:rPr>
          <w:rFonts w:eastAsia="Batang"/>
          <w:iCs/>
          <w:color w:val="000000"/>
          <w:kern w:val="2"/>
          <w:sz w:val="22"/>
          <w:szCs w:val="22"/>
        </w:rPr>
        <w:t>.</w:t>
      </w:r>
    </w:p>
    <w:p w14:paraId="3ADD7693" w14:textId="77777777" w:rsidR="00F474AC" w:rsidRPr="00112818" w:rsidRDefault="00F474AC" w:rsidP="00F474AC">
      <w:pPr>
        <w:tabs>
          <w:tab w:val="left" w:pos="640"/>
        </w:tabs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02B1DEFD" w14:textId="2C9892D7" w:rsidR="0021059D" w:rsidRDefault="00430334" w:rsidP="00F474AC">
      <w:pPr>
        <w:tabs>
          <w:tab w:val="left" w:pos="640"/>
        </w:tabs>
        <w:jc w:val="both"/>
        <w:rPr>
          <w:rFonts w:eastAsia="Batang"/>
          <w:iCs/>
          <w:color w:val="000000"/>
          <w:kern w:val="2"/>
          <w:sz w:val="22"/>
          <w:szCs w:val="22"/>
        </w:rPr>
      </w:pPr>
      <w:r>
        <w:rPr>
          <w:rFonts w:eastAsia="Batang"/>
          <w:iCs/>
          <w:color w:val="000000"/>
          <w:kern w:val="2"/>
          <w:sz w:val="22"/>
          <w:szCs w:val="22"/>
        </w:rPr>
        <w:t>In RAN1#101-e, there was a TP to address the issue</w:t>
      </w:r>
      <w:r w:rsidR="00FC7F0C">
        <w:rPr>
          <w:rFonts w:eastAsia="Batang"/>
          <w:iCs/>
          <w:color w:val="000000"/>
          <w:kern w:val="2"/>
          <w:sz w:val="22"/>
          <w:szCs w:val="22"/>
        </w:rPr>
        <w:t xml:space="preserve"> using a simple extension of Rel-15 Type-1 codebook construction procedure by replacing slot by sub-slot. </w:t>
      </w:r>
      <w:r w:rsidR="00D06BC0">
        <w:rPr>
          <w:rFonts w:eastAsia="Batang"/>
          <w:iCs/>
          <w:color w:val="000000"/>
          <w:kern w:val="2"/>
          <w:sz w:val="22"/>
          <w:szCs w:val="22"/>
        </w:rPr>
        <w:t>The concern ha</w:t>
      </w:r>
      <w:r w:rsidR="00CF198F">
        <w:rPr>
          <w:rFonts w:eastAsia="Batang"/>
          <w:iCs/>
          <w:color w:val="000000"/>
          <w:kern w:val="2"/>
          <w:sz w:val="22"/>
          <w:szCs w:val="22"/>
        </w:rPr>
        <w:t>d</w:t>
      </w:r>
      <w:r w:rsidR="00D06BC0">
        <w:rPr>
          <w:rFonts w:eastAsia="Batang"/>
          <w:iCs/>
          <w:color w:val="000000"/>
          <w:kern w:val="2"/>
          <w:sz w:val="22"/>
          <w:szCs w:val="22"/>
        </w:rPr>
        <w:t xml:space="preserve"> been raised by some companies </w:t>
      </w:r>
      <w:r>
        <w:rPr>
          <w:rFonts w:eastAsia="Batang"/>
          <w:iCs/>
          <w:color w:val="000000"/>
          <w:kern w:val="2"/>
          <w:sz w:val="22"/>
          <w:szCs w:val="22"/>
        </w:rPr>
        <w:t xml:space="preserve">earlier </w:t>
      </w:r>
      <w:r w:rsidR="00D06BC0">
        <w:rPr>
          <w:rFonts w:eastAsia="Batang"/>
          <w:iCs/>
          <w:color w:val="000000"/>
          <w:kern w:val="2"/>
          <w:sz w:val="22"/>
          <w:szCs w:val="22"/>
        </w:rPr>
        <w:t xml:space="preserve">that </w:t>
      </w:r>
      <w:r w:rsidR="00D06BC0" w:rsidRPr="00ED6BF0">
        <w:rPr>
          <w:rFonts w:eastAsia="Batang"/>
          <w:iCs/>
          <w:color w:val="000000"/>
          <w:kern w:val="2"/>
          <w:sz w:val="22"/>
          <w:szCs w:val="22"/>
        </w:rPr>
        <w:t>Type-1 HARQ-ACK codebook for sub-slot-based HARQ-ACK feedback</w:t>
      </w:r>
      <w:r w:rsidR="00D06BC0">
        <w:rPr>
          <w:rFonts w:eastAsia="Batang"/>
          <w:iCs/>
          <w:color w:val="000000"/>
          <w:kern w:val="2"/>
          <w:sz w:val="22"/>
          <w:szCs w:val="22"/>
        </w:rPr>
        <w:t xml:space="preserve"> could result in large codebook size </w:t>
      </w:r>
      <w:r w:rsidR="00CF198F">
        <w:rPr>
          <w:rFonts w:eastAsia="Batang"/>
          <w:iCs/>
          <w:color w:val="000000"/>
          <w:kern w:val="2"/>
          <w:sz w:val="22"/>
          <w:szCs w:val="22"/>
        </w:rPr>
        <w:t>and/</w:t>
      </w:r>
      <w:r w:rsidR="00D06BC0">
        <w:rPr>
          <w:rFonts w:eastAsia="Batang"/>
          <w:iCs/>
          <w:color w:val="000000"/>
          <w:kern w:val="2"/>
          <w:sz w:val="22"/>
          <w:szCs w:val="22"/>
        </w:rPr>
        <w:t>or overall large PUCCH overhead</w:t>
      </w:r>
      <w:r>
        <w:rPr>
          <w:rFonts w:eastAsia="Batang"/>
          <w:iCs/>
          <w:color w:val="000000"/>
          <w:kern w:val="2"/>
          <w:sz w:val="22"/>
          <w:szCs w:val="22"/>
        </w:rPr>
        <w:t>, which may require some size optimization.</w:t>
      </w:r>
      <w:r w:rsidR="00453327">
        <w:rPr>
          <w:rFonts w:eastAsia="Batang"/>
          <w:iCs/>
          <w:color w:val="000000"/>
          <w:kern w:val="2"/>
          <w:sz w:val="22"/>
          <w:szCs w:val="22"/>
        </w:rPr>
        <w:t xml:space="preserve"> Note that HARQ-ACK enhancements is part of Rel-17 </w:t>
      </w:r>
      <w:proofErr w:type="spellStart"/>
      <w:r w:rsidR="00453327">
        <w:rPr>
          <w:rFonts w:eastAsia="Batang"/>
          <w:iCs/>
          <w:color w:val="000000"/>
          <w:kern w:val="2"/>
          <w:sz w:val="22"/>
          <w:szCs w:val="22"/>
        </w:rPr>
        <w:t>eIIoT</w:t>
      </w:r>
      <w:proofErr w:type="spellEnd"/>
      <w:r w:rsidR="00453327">
        <w:rPr>
          <w:rFonts w:eastAsia="Batang"/>
          <w:iCs/>
          <w:color w:val="000000"/>
          <w:kern w:val="2"/>
          <w:sz w:val="22"/>
          <w:szCs w:val="22"/>
        </w:rPr>
        <w:t xml:space="preserve">/URLLC WI, and some companies had suggested </w:t>
      </w:r>
      <w:r w:rsidR="0079195E">
        <w:rPr>
          <w:rFonts w:eastAsia="Batang"/>
          <w:iCs/>
          <w:color w:val="000000"/>
          <w:kern w:val="2"/>
          <w:sz w:val="22"/>
          <w:szCs w:val="22"/>
        </w:rPr>
        <w:t xml:space="preserve">during the WI scope discussion </w:t>
      </w:r>
      <w:r w:rsidR="00453327">
        <w:rPr>
          <w:rFonts w:eastAsia="Batang"/>
          <w:iCs/>
          <w:color w:val="000000"/>
          <w:kern w:val="2"/>
          <w:sz w:val="22"/>
          <w:szCs w:val="22"/>
        </w:rPr>
        <w:t xml:space="preserve">that Type-1 HARQ-ACK codebook </w:t>
      </w:r>
      <w:r w:rsidR="0079195E">
        <w:rPr>
          <w:rFonts w:eastAsia="Batang"/>
          <w:iCs/>
          <w:color w:val="000000"/>
          <w:kern w:val="2"/>
          <w:sz w:val="22"/>
          <w:szCs w:val="22"/>
        </w:rPr>
        <w:t>enhancements could be considered in Rel-17.</w:t>
      </w:r>
    </w:p>
    <w:p w14:paraId="744609A9" w14:textId="3DED8424" w:rsidR="0079195E" w:rsidRDefault="0079195E" w:rsidP="00F474AC">
      <w:pPr>
        <w:tabs>
          <w:tab w:val="left" w:pos="640"/>
        </w:tabs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5BF33AB5" w14:textId="43CBE3CF" w:rsidR="0079195E" w:rsidRDefault="0079195E" w:rsidP="00F474AC">
      <w:pPr>
        <w:tabs>
          <w:tab w:val="left" w:pos="640"/>
        </w:tabs>
        <w:jc w:val="both"/>
        <w:rPr>
          <w:rFonts w:eastAsia="Batang"/>
          <w:iCs/>
          <w:color w:val="000000"/>
          <w:kern w:val="2"/>
          <w:sz w:val="22"/>
          <w:szCs w:val="22"/>
        </w:rPr>
      </w:pPr>
      <w:r>
        <w:rPr>
          <w:rFonts w:eastAsia="Batang"/>
          <w:iCs/>
          <w:color w:val="000000"/>
          <w:kern w:val="2"/>
          <w:sz w:val="22"/>
          <w:szCs w:val="22"/>
        </w:rPr>
        <w:t>With all these, we see 3 options to handle the issue:</w:t>
      </w:r>
    </w:p>
    <w:p w14:paraId="3796CDA8" w14:textId="14C00B91" w:rsidR="00B55DA1" w:rsidRDefault="00B55DA1" w:rsidP="00B55DA1">
      <w:pPr>
        <w:pStyle w:val="ListParagraph"/>
        <w:numPr>
          <w:ilvl w:val="0"/>
          <w:numId w:val="34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Option 1: Do not support it in Rel-16. Discuss</w:t>
      </w:r>
      <w:r w:rsidRPr="00BF6F14">
        <w:rPr>
          <w:iCs/>
          <w:color w:val="000000"/>
          <w:kern w:val="2"/>
          <w:sz w:val="22"/>
          <w:szCs w:val="22"/>
        </w:rPr>
        <w:t xml:space="preserve"> it in Rel-17, and potential codebook size optimization can be considered</w:t>
      </w:r>
      <w:r>
        <w:rPr>
          <w:iCs/>
          <w:color w:val="000000"/>
          <w:kern w:val="2"/>
          <w:sz w:val="22"/>
          <w:szCs w:val="22"/>
        </w:rPr>
        <w:t>.</w:t>
      </w:r>
    </w:p>
    <w:p w14:paraId="2F5C6A38" w14:textId="5A184B1E" w:rsidR="00B55DA1" w:rsidRDefault="00B55DA1" w:rsidP="00B55DA1">
      <w:pPr>
        <w:pStyle w:val="ListParagraph"/>
        <w:numPr>
          <w:ilvl w:val="0"/>
          <w:numId w:val="34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Option 2: Adopt the TP in Rel-16. No further optimization in Rel-17.</w:t>
      </w:r>
    </w:p>
    <w:p w14:paraId="7FEF4EEB" w14:textId="242EC863" w:rsidR="0079195E" w:rsidRDefault="0079195E" w:rsidP="0079195E">
      <w:pPr>
        <w:pStyle w:val="ListParagraph"/>
        <w:numPr>
          <w:ilvl w:val="0"/>
          <w:numId w:val="34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Option </w:t>
      </w:r>
      <w:r w:rsidR="00B55DA1">
        <w:rPr>
          <w:iCs/>
          <w:color w:val="000000"/>
          <w:kern w:val="2"/>
          <w:sz w:val="22"/>
          <w:szCs w:val="22"/>
        </w:rPr>
        <w:t>3</w:t>
      </w:r>
      <w:r>
        <w:rPr>
          <w:iCs/>
          <w:color w:val="000000"/>
          <w:kern w:val="2"/>
          <w:sz w:val="22"/>
          <w:szCs w:val="22"/>
        </w:rPr>
        <w:t xml:space="preserve">: </w:t>
      </w:r>
      <w:r w:rsidR="00BF6F14">
        <w:rPr>
          <w:iCs/>
          <w:color w:val="000000"/>
          <w:kern w:val="2"/>
          <w:sz w:val="22"/>
          <w:szCs w:val="22"/>
        </w:rPr>
        <w:t>A</w:t>
      </w:r>
      <w:r>
        <w:rPr>
          <w:iCs/>
          <w:color w:val="000000"/>
          <w:kern w:val="2"/>
          <w:sz w:val="22"/>
          <w:szCs w:val="22"/>
        </w:rPr>
        <w:t>dopt the TP in Rel-16</w:t>
      </w:r>
      <w:r w:rsidR="00BF6F14">
        <w:rPr>
          <w:iCs/>
          <w:color w:val="000000"/>
          <w:kern w:val="2"/>
          <w:sz w:val="22"/>
          <w:szCs w:val="22"/>
        </w:rPr>
        <w:t>. Type-1 codebook optimization can be further considered in Rel-17.</w:t>
      </w:r>
    </w:p>
    <w:p w14:paraId="2FC31F98" w14:textId="6233BAAE" w:rsidR="005639B5" w:rsidRPr="005639B5" w:rsidRDefault="005639B5" w:rsidP="005639B5">
      <w:pPr>
        <w:tabs>
          <w:tab w:val="left" w:pos="640"/>
        </w:tabs>
        <w:jc w:val="both"/>
        <w:rPr>
          <w:rFonts w:eastAsia="Batang"/>
          <w:iCs/>
          <w:color w:val="000000"/>
          <w:kern w:val="2"/>
          <w:sz w:val="22"/>
          <w:szCs w:val="22"/>
        </w:rPr>
      </w:pPr>
      <w:r>
        <w:rPr>
          <w:rFonts w:eastAsia="Batang"/>
          <w:iCs/>
          <w:color w:val="000000"/>
          <w:kern w:val="2"/>
          <w:sz w:val="22"/>
          <w:szCs w:val="22"/>
        </w:rPr>
        <w:t xml:space="preserve">Among these 3 options, we think Option </w:t>
      </w:r>
      <w:r w:rsidR="00B55DA1">
        <w:rPr>
          <w:rFonts w:eastAsia="Batang"/>
          <w:iCs/>
          <w:color w:val="000000"/>
          <w:kern w:val="2"/>
          <w:sz w:val="22"/>
          <w:szCs w:val="22"/>
        </w:rPr>
        <w:t>3</w:t>
      </w:r>
      <w:r>
        <w:rPr>
          <w:rFonts w:eastAsia="Batang"/>
          <w:iCs/>
          <w:color w:val="000000"/>
          <w:kern w:val="2"/>
          <w:sz w:val="22"/>
          <w:szCs w:val="22"/>
        </w:rPr>
        <w:t xml:space="preserve"> does not make much sense. Specifying something for Rel-16 at </w:t>
      </w:r>
      <w:r w:rsidR="00076222">
        <w:rPr>
          <w:rFonts w:eastAsia="Batang"/>
          <w:iCs/>
          <w:color w:val="000000"/>
          <w:kern w:val="2"/>
          <w:sz w:val="22"/>
          <w:szCs w:val="22"/>
        </w:rPr>
        <w:t>8</w:t>
      </w:r>
      <w:r>
        <w:rPr>
          <w:rFonts w:eastAsia="Batang"/>
          <w:iCs/>
          <w:color w:val="000000"/>
          <w:kern w:val="2"/>
          <w:sz w:val="22"/>
          <w:szCs w:val="22"/>
        </w:rPr>
        <w:t xml:space="preserve"> months after Rel-16 completion </w:t>
      </w:r>
      <w:r w:rsidR="00076222">
        <w:rPr>
          <w:rFonts w:eastAsia="Batang"/>
          <w:iCs/>
          <w:color w:val="000000"/>
          <w:kern w:val="2"/>
          <w:sz w:val="22"/>
          <w:szCs w:val="22"/>
        </w:rPr>
        <w:t xml:space="preserve">and then at the same time working on the optimization </w:t>
      </w:r>
      <w:r w:rsidR="00BB4479">
        <w:rPr>
          <w:rFonts w:eastAsia="Batang"/>
          <w:iCs/>
          <w:color w:val="000000"/>
          <w:kern w:val="2"/>
          <w:sz w:val="22"/>
          <w:szCs w:val="22"/>
        </w:rPr>
        <w:t xml:space="preserve">in Rel-17 </w:t>
      </w:r>
      <w:r w:rsidR="00076222">
        <w:rPr>
          <w:rFonts w:eastAsia="Batang"/>
          <w:iCs/>
          <w:color w:val="000000"/>
          <w:kern w:val="2"/>
          <w:sz w:val="22"/>
          <w:szCs w:val="22"/>
        </w:rPr>
        <w:t xml:space="preserve">is </w:t>
      </w:r>
      <w:r w:rsidR="00BB4479">
        <w:rPr>
          <w:rFonts w:eastAsia="Batang"/>
          <w:iCs/>
          <w:color w:val="000000"/>
          <w:kern w:val="2"/>
          <w:sz w:val="22"/>
          <w:szCs w:val="22"/>
        </w:rPr>
        <w:t>certainly a waste of time and resources, and it only creates more complexity for the specifications</w:t>
      </w:r>
      <w:r w:rsidR="008B1FDC">
        <w:rPr>
          <w:rFonts w:eastAsia="Batang"/>
          <w:iCs/>
          <w:color w:val="000000"/>
          <w:kern w:val="2"/>
          <w:sz w:val="22"/>
          <w:szCs w:val="22"/>
        </w:rPr>
        <w:t>,</w:t>
      </w:r>
      <w:r w:rsidR="00BB4479">
        <w:rPr>
          <w:rFonts w:eastAsia="Batang"/>
          <w:iCs/>
          <w:color w:val="000000"/>
          <w:kern w:val="2"/>
          <w:sz w:val="22"/>
          <w:szCs w:val="22"/>
        </w:rPr>
        <w:t xml:space="preserve"> the </w:t>
      </w:r>
      <w:proofErr w:type="spellStart"/>
      <w:r w:rsidR="00BB4479">
        <w:rPr>
          <w:rFonts w:eastAsia="Batang"/>
          <w:iCs/>
          <w:color w:val="000000"/>
          <w:kern w:val="2"/>
          <w:sz w:val="22"/>
          <w:szCs w:val="22"/>
        </w:rPr>
        <w:t>gNB</w:t>
      </w:r>
      <w:proofErr w:type="spellEnd"/>
      <w:r w:rsidR="00BB4479">
        <w:rPr>
          <w:rFonts w:eastAsia="Batang"/>
          <w:iCs/>
          <w:color w:val="000000"/>
          <w:kern w:val="2"/>
          <w:sz w:val="22"/>
          <w:szCs w:val="22"/>
        </w:rPr>
        <w:t>/UE implementations</w:t>
      </w:r>
      <w:r w:rsidR="008B1FDC">
        <w:rPr>
          <w:rFonts w:eastAsia="Batang"/>
          <w:iCs/>
          <w:color w:val="000000"/>
          <w:kern w:val="2"/>
          <w:sz w:val="22"/>
          <w:szCs w:val="22"/>
        </w:rPr>
        <w:t xml:space="preserve"> and the network operations</w:t>
      </w:r>
      <w:r w:rsidR="00BB4479">
        <w:rPr>
          <w:rFonts w:eastAsia="Batang"/>
          <w:iCs/>
          <w:color w:val="000000"/>
          <w:kern w:val="2"/>
          <w:sz w:val="22"/>
          <w:szCs w:val="22"/>
        </w:rPr>
        <w:t xml:space="preserve"> if two different </w:t>
      </w:r>
      <w:r w:rsidR="008B1FDC">
        <w:rPr>
          <w:rFonts w:eastAsia="Batang"/>
          <w:iCs/>
          <w:color w:val="000000"/>
          <w:kern w:val="2"/>
          <w:sz w:val="22"/>
          <w:szCs w:val="22"/>
        </w:rPr>
        <w:t xml:space="preserve">versions are specified. At least we do not see the absolute need for supporting it in Rel-16. If companies think optimization is necessary, it would be better if we </w:t>
      </w:r>
      <w:r w:rsidR="00893CB1">
        <w:rPr>
          <w:rFonts w:eastAsia="Batang"/>
          <w:iCs/>
          <w:color w:val="000000"/>
          <w:kern w:val="2"/>
          <w:sz w:val="22"/>
          <w:szCs w:val="22"/>
        </w:rPr>
        <w:t xml:space="preserve">wait and </w:t>
      </w:r>
      <w:r w:rsidR="008B1FDC">
        <w:rPr>
          <w:rFonts w:eastAsia="Batang"/>
          <w:iCs/>
          <w:color w:val="000000"/>
          <w:kern w:val="2"/>
          <w:sz w:val="22"/>
          <w:szCs w:val="22"/>
        </w:rPr>
        <w:t xml:space="preserve">do it </w:t>
      </w:r>
      <w:r w:rsidR="00893CB1">
        <w:rPr>
          <w:rFonts w:eastAsia="Batang"/>
          <w:iCs/>
          <w:color w:val="000000"/>
          <w:kern w:val="2"/>
          <w:sz w:val="22"/>
          <w:szCs w:val="22"/>
        </w:rPr>
        <w:t xml:space="preserve">in Rel-17 (Option </w:t>
      </w:r>
      <w:r w:rsidR="00B55DA1">
        <w:rPr>
          <w:rFonts w:eastAsia="Batang"/>
          <w:iCs/>
          <w:color w:val="000000"/>
          <w:kern w:val="2"/>
          <w:sz w:val="22"/>
          <w:szCs w:val="22"/>
        </w:rPr>
        <w:t>1</w:t>
      </w:r>
      <w:r w:rsidR="00893CB1">
        <w:rPr>
          <w:rFonts w:eastAsia="Batang"/>
          <w:iCs/>
          <w:color w:val="000000"/>
          <w:kern w:val="2"/>
          <w:sz w:val="22"/>
          <w:szCs w:val="22"/>
        </w:rPr>
        <w:t xml:space="preserve">). On the other hand, if companies are fine without further optimization, Option </w:t>
      </w:r>
      <w:r w:rsidR="00B55DA1">
        <w:rPr>
          <w:rFonts w:eastAsia="Batang"/>
          <w:iCs/>
          <w:color w:val="000000"/>
          <w:kern w:val="2"/>
          <w:sz w:val="22"/>
          <w:szCs w:val="22"/>
        </w:rPr>
        <w:t>2</w:t>
      </w:r>
      <w:r w:rsidR="00D511DA">
        <w:rPr>
          <w:rFonts w:eastAsia="Batang"/>
          <w:iCs/>
          <w:color w:val="000000"/>
          <w:kern w:val="2"/>
          <w:sz w:val="22"/>
          <w:szCs w:val="22"/>
        </w:rPr>
        <w:t xml:space="preserve"> should be adopted.</w:t>
      </w:r>
    </w:p>
    <w:p w14:paraId="123CE8EA" w14:textId="77777777" w:rsidR="0021059D" w:rsidRDefault="0021059D" w:rsidP="00F474AC">
      <w:pPr>
        <w:tabs>
          <w:tab w:val="left" w:pos="640"/>
        </w:tabs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41A2319C" w14:textId="74B9C469" w:rsidR="00F474AC" w:rsidRPr="00112818" w:rsidRDefault="00F474AC" w:rsidP="00F474AC">
      <w:pPr>
        <w:tabs>
          <w:tab w:val="left" w:pos="640"/>
        </w:tabs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0CC4D9A4" w14:textId="540A3C75" w:rsidR="006142C5" w:rsidRPr="00B55DA1" w:rsidRDefault="00380980" w:rsidP="006142C5">
      <w:pPr>
        <w:tabs>
          <w:tab w:val="left" w:pos="640"/>
        </w:tabs>
        <w:jc w:val="both"/>
        <w:rPr>
          <w:rFonts w:eastAsia="Batang"/>
          <w:b/>
          <w:bCs/>
          <w:iCs/>
          <w:color w:val="000000"/>
          <w:kern w:val="2"/>
          <w:sz w:val="22"/>
          <w:szCs w:val="22"/>
        </w:rPr>
      </w:pPr>
      <w:r w:rsidRPr="00B55DA1">
        <w:rPr>
          <w:rFonts w:eastAsia="Batang"/>
          <w:b/>
          <w:bCs/>
          <w:iCs/>
          <w:color w:val="000000"/>
          <w:kern w:val="2"/>
          <w:sz w:val="22"/>
          <w:szCs w:val="22"/>
        </w:rPr>
        <w:t xml:space="preserve">Proposal: </w:t>
      </w:r>
      <w:r w:rsidR="006142C5" w:rsidRPr="00B55DA1">
        <w:rPr>
          <w:rFonts w:eastAsia="Batang"/>
          <w:b/>
          <w:bCs/>
          <w:iCs/>
          <w:color w:val="000000"/>
          <w:kern w:val="2"/>
          <w:sz w:val="22"/>
          <w:szCs w:val="22"/>
        </w:rPr>
        <w:t>For the support of Type-1 HARQ-ACK codebook for sub-slot</w:t>
      </w:r>
      <w:r w:rsidR="0021059D" w:rsidRPr="00B55DA1">
        <w:rPr>
          <w:rFonts w:eastAsia="Batang"/>
          <w:b/>
          <w:bCs/>
          <w:iCs/>
          <w:color w:val="000000"/>
          <w:kern w:val="2"/>
          <w:sz w:val="22"/>
          <w:szCs w:val="22"/>
        </w:rPr>
        <w:t>-</w:t>
      </w:r>
      <w:r w:rsidR="006142C5" w:rsidRPr="00B55DA1">
        <w:rPr>
          <w:rFonts w:eastAsia="Batang"/>
          <w:b/>
          <w:bCs/>
          <w:iCs/>
          <w:color w:val="000000"/>
          <w:kern w:val="2"/>
          <w:sz w:val="22"/>
          <w:szCs w:val="22"/>
        </w:rPr>
        <w:t>based HARQ-ACK feedback in Rel-16, adopt one of the following options:</w:t>
      </w:r>
    </w:p>
    <w:p w14:paraId="76DE15C2" w14:textId="5638DB65" w:rsidR="006142C5" w:rsidRPr="00B55DA1" w:rsidRDefault="006142C5" w:rsidP="006142C5">
      <w:pPr>
        <w:pStyle w:val="ListParagraph"/>
        <w:numPr>
          <w:ilvl w:val="0"/>
          <w:numId w:val="33"/>
        </w:numPr>
        <w:tabs>
          <w:tab w:val="left" w:pos="640"/>
        </w:tabs>
        <w:ind w:leftChars="0"/>
        <w:jc w:val="both"/>
        <w:rPr>
          <w:b/>
          <w:bCs/>
          <w:iCs/>
          <w:color w:val="000000"/>
          <w:kern w:val="2"/>
          <w:sz w:val="22"/>
          <w:szCs w:val="22"/>
        </w:rPr>
      </w:pPr>
      <w:r w:rsidRPr="00B55DA1">
        <w:rPr>
          <w:b/>
          <w:bCs/>
          <w:iCs/>
          <w:color w:val="000000"/>
          <w:kern w:val="2"/>
          <w:sz w:val="22"/>
          <w:szCs w:val="22"/>
        </w:rPr>
        <w:t xml:space="preserve">Option 1: Do not support it in Rel-16. </w:t>
      </w:r>
      <w:r w:rsidR="00D511DA" w:rsidRPr="00B55DA1">
        <w:rPr>
          <w:b/>
          <w:bCs/>
          <w:iCs/>
          <w:color w:val="000000"/>
          <w:kern w:val="2"/>
          <w:sz w:val="22"/>
          <w:szCs w:val="22"/>
        </w:rPr>
        <w:t>Discuss</w:t>
      </w:r>
      <w:r w:rsidRPr="00B55DA1">
        <w:rPr>
          <w:b/>
          <w:bCs/>
          <w:iCs/>
          <w:color w:val="000000"/>
          <w:kern w:val="2"/>
          <w:sz w:val="22"/>
          <w:szCs w:val="22"/>
        </w:rPr>
        <w:t xml:space="preserve"> it in Rel-17, and potential codebook size optimization can be considered.</w:t>
      </w:r>
    </w:p>
    <w:p w14:paraId="76ADCEFF" w14:textId="40F5A19F" w:rsidR="00380980" w:rsidRPr="00B55DA1" w:rsidRDefault="006142C5" w:rsidP="006142C5">
      <w:pPr>
        <w:pStyle w:val="ListParagraph"/>
        <w:numPr>
          <w:ilvl w:val="0"/>
          <w:numId w:val="33"/>
        </w:numPr>
        <w:tabs>
          <w:tab w:val="left" w:pos="640"/>
        </w:tabs>
        <w:ind w:leftChars="0"/>
        <w:jc w:val="both"/>
        <w:rPr>
          <w:b/>
          <w:bCs/>
          <w:iCs/>
          <w:color w:val="000000"/>
          <w:kern w:val="2"/>
          <w:sz w:val="22"/>
          <w:szCs w:val="22"/>
        </w:rPr>
      </w:pPr>
      <w:r w:rsidRPr="00B55DA1">
        <w:rPr>
          <w:b/>
          <w:bCs/>
          <w:iCs/>
          <w:color w:val="000000"/>
          <w:kern w:val="2"/>
          <w:sz w:val="22"/>
          <w:szCs w:val="22"/>
        </w:rPr>
        <w:lastRenderedPageBreak/>
        <w:t>Option 2: Agree on a TP that extends Rel-15 Type-1 HARQ-ACK codebook construction to support sub-slot-based feedback by replacing slot with sub-slot. No further optimization in Rel-17.</w:t>
      </w:r>
    </w:p>
    <w:p w14:paraId="798B9ADF" w14:textId="45F42CD8" w:rsidR="00D941E0" w:rsidRPr="00D774D0" w:rsidRDefault="00D941E0" w:rsidP="00D941E0"/>
    <w:p w14:paraId="5AF7F5BB" w14:textId="6CA59510" w:rsidR="00ED7653" w:rsidRDefault="00ED7653" w:rsidP="00032FD3">
      <w:pPr>
        <w:pStyle w:val="Heading1"/>
      </w:pPr>
      <w:r>
        <w:t>Conclusion</w:t>
      </w:r>
    </w:p>
    <w:p w14:paraId="2479DF4E" w14:textId="77213A1B" w:rsidR="003105DC" w:rsidRPr="00B55DA1" w:rsidRDefault="002134C9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</w:rPr>
      </w:pPr>
      <w:r w:rsidRPr="00CC1A38">
        <w:rPr>
          <w:sz w:val="22"/>
          <w:szCs w:val="22"/>
          <w:lang w:val="en-US"/>
        </w:rPr>
        <w:t xml:space="preserve">In this contribution, we discussed </w:t>
      </w:r>
      <w:r w:rsidR="00B55DA1">
        <w:rPr>
          <w:sz w:val="22"/>
          <w:szCs w:val="22"/>
        </w:rPr>
        <w:t>whether to support</w:t>
      </w:r>
      <w:r w:rsidR="00B55DA1" w:rsidRPr="00112818">
        <w:rPr>
          <w:sz w:val="22"/>
          <w:szCs w:val="22"/>
        </w:rPr>
        <w:t xml:space="preserve"> </w:t>
      </w:r>
      <w:r w:rsidR="00B55DA1">
        <w:rPr>
          <w:sz w:val="22"/>
          <w:szCs w:val="22"/>
        </w:rPr>
        <w:t>Type-1 HARQ-ACK codebook for sub-slot-based HARQ-ACK feedback in</w:t>
      </w:r>
      <w:r w:rsidR="00B55DA1" w:rsidRPr="00112818">
        <w:rPr>
          <w:sz w:val="22"/>
          <w:szCs w:val="22"/>
        </w:rPr>
        <w:t xml:space="preserve"> Rel-16</w:t>
      </w:r>
      <w:r w:rsidR="00B55DA1">
        <w:rPr>
          <w:sz w:val="22"/>
          <w:szCs w:val="22"/>
        </w:rPr>
        <w:t>, and proposed the following:</w:t>
      </w:r>
    </w:p>
    <w:p w14:paraId="148DDE73" w14:textId="77777777" w:rsidR="00B55DA1" w:rsidRPr="00B55DA1" w:rsidRDefault="00B55DA1" w:rsidP="00B55DA1">
      <w:pPr>
        <w:tabs>
          <w:tab w:val="left" w:pos="640"/>
        </w:tabs>
        <w:jc w:val="both"/>
        <w:rPr>
          <w:rFonts w:eastAsia="Batang"/>
          <w:b/>
          <w:bCs/>
          <w:iCs/>
          <w:color w:val="000000"/>
          <w:kern w:val="2"/>
          <w:sz w:val="22"/>
          <w:szCs w:val="22"/>
        </w:rPr>
      </w:pPr>
      <w:r w:rsidRPr="00B55DA1">
        <w:rPr>
          <w:rFonts w:eastAsia="Batang"/>
          <w:b/>
          <w:bCs/>
          <w:iCs/>
          <w:color w:val="000000"/>
          <w:kern w:val="2"/>
          <w:sz w:val="22"/>
          <w:szCs w:val="22"/>
        </w:rPr>
        <w:t>Proposal: For the support of Type-1 HARQ-ACK codebook for sub-slot-based HARQ-ACK feedback in Rel-16, adopt one of the following options:</w:t>
      </w:r>
    </w:p>
    <w:p w14:paraId="219B9AA6" w14:textId="77777777" w:rsidR="00B55DA1" w:rsidRPr="00B55DA1" w:rsidRDefault="00B55DA1" w:rsidP="00B55DA1">
      <w:pPr>
        <w:pStyle w:val="ListParagraph"/>
        <w:numPr>
          <w:ilvl w:val="0"/>
          <w:numId w:val="33"/>
        </w:numPr>
        <w:tabs>
          <w:tab w:val="left" w:pos="640"/>
        </w:tabs>
        <w:ind w:leftChars="0"/>
        <w:jc w:val="both"/>
        <w:rPr>
          <w:b/>
          <w:bCs/>
          <w:iCs/>
          <w:color w:val="000000"/>
          <w:kern w:val="2"/>
          <w:sz w:val="22"/>
          <w:szCs w:val="22"/>
        </w:rPr>
      </w:pPr>
      <w:r w:rsidRPr="00B55DA1">
        <w:rPr>
          <w:b/>
          <w:bCs/>
          <w:iCs/>
          <w:color w:val="000000"/>
          <w:kern w:val="2"/>
          <w:sz w:val="22"/>
          <w:szCs w:val="22"/>
        </w:rPr>
        <w:t>Option 1: Do not support it in Rel-16. Discuss it in Rel-17, and potential codebook size optimization can be considered.</w:t>
      </w:r>
    </w:p>
    <w:p w14:paraId="6988A6F9" w14:textId="77777777" w:rsidR="00B55DA1" w:rsidRPr="00B55DA1" w:rsidRDefault="00B55DA1" w:rsidP="00B55DA1">
      <w:pPr>
        <w:pStyle w:val="ListParagraph"/>
        <w:numPr>
          <w:ilvl w:val="0"/>
          <w:numId w:val="33"/>
        </w:numPr>
        <w:tabs>
          <w:tab w:val="left" w:pos="640"/>
        </w:tabs>
        <w:ind w:leftChars="0"/>
        <w:jc w:val="both"/>
        <w:rPr>
          <w:b/>
          <w:bCs/>
          <w:iCs/>
          <w:color w:val="000000"/>
          <w:kern w:val="2"/>
          <w:sz w:val="22"/>
          <w:szCs w:val="22"/>
        </w:rPr>
      </w:pPr>
      <w:r w:rsidRPr="00B55DA1">
        <w:rPr>
          <w:b/>
          <w:bCs/>
          <w:iCs/>
          <w:color w:val="000000"/>
          <w:kern w:val="2"/>
          <w:sz w:val="22"/>
          <w:szCs w:val="22"/>
        </w:rPr>
        <w:t>Option 2: Agree on a TP that extends Rel-15 Type-1 HARQ-ACK codebook construction to support sub-slot-based feedback by replacing slot with sub-slot. No further optimization in Rel-17.</w:t>
      </w:r>
    </w:p>
    <w:p w14:paraId="66D2190A" w14:textId="77777777" w:rsidR="00344198" w:rsidRDefault="00344198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48D3502F" w14:textId="77777777" w:rsidR="002134C9" w:rsidRPr="00E55EB5" w:rsidRDefault="002134C9" w:rsidP="00D20B34">
      <w:pPr>
        <w:pStyle w:val="0Maintext"/>
        <w:spacing w:after="120" w:afterAutospacing="0" w:line="240" w:lineRule="auto"/>
        <w:ind w:firstLine="0"/>
        <w:rPr>
          <w:lang w:val="en-US"/>
        </w:rPr>
      </w:pPr>
    </w:p>
    <w:sectPr w:rsidR="002134C9" w:rsidRPr="00E55EB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3C0000"/>
    <w:multiLevelType w:val="multilevel"/>
    <w:tmpl w:val="375A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EE27A9"/>
    <w:multiLevelType w:val="hybridMultilevel"/>
    <w:tmpl w:val="4F84FC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786A24"/>
    <w:multiLevelType w:val="hybridMultilevel"/>
    <w:tmpl w:val="480EB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15D11F0D"/>
    <w:multiLevelType w:val="multilevel"/>
    <w:tmpl w:val="D52EC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B3760A"/>
    <w:multiLevelType w:val="hybridMultilevel"/>
    <w:tmpl w:val="70E8D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B243D2"/>
    <w:multiLevelType w:val="multilevel"/>
    <w:tmpl w:val="02B4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8072A5"/>
    <w:multiLevelType w:val="multilevel"/>
    <w:tmpl w:val="FA06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458E9"/>
    <w:multiLevelType w:val="multilevel"/>
    <w:tmpl w:val="70F26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06B77"/>
    <w:multiLevelType w:val="hybridMultilevel"/>
    <w:tmpl w:val="ED80C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E5879"/>
    <w:multiLevelType w:val="hybridMultilevel"/>
    <w:tmpl w:val="C8168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65B5D"/>
    <w:multiLevelType w:val="hybridMultilevel"/>
    <w:tmpl w:val="94CE2E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A515B35"/>
    <w:multiLevelType w:val="multilevel"/>
    <w:tmpl w:val="A5926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97815"/>
    <w:multiLevelType w:val="hybridMultilevel"/>
    <w:tmpl w:val="1E44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C1573F"/>
    <w:multiLevelType w:val="hybridMultilevel"/>
    <w:tmpl w:val="BA5C0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-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-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</w:abstractNum>
  <w:abstractNum w:abstractNumId="32" w15:restartNumberingAfterBreak="0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3"/>
  </w:num>
  <w:num w:numId="4">
    <w:abstractNumId w:val="26"/>
  </w:num>
  <w:num w:numId="5">
    <w:abstractNumId w:val="30"/>
  </w:num>
  <w:num w:numId="6">
    <w:abstractNumId w:val="18"/>
  </w:num>
  <w:num w:numId="7">
    <w:abstractNumId w:val="27"/>
  </w:num>
  <w:num w:numId="8">
    <w:abstractNumId w:val="4"/>
  </w:num>
  <w:num w:numId="9">
    <w:abstractNumId w:val="29"/>
  </w:num>
  <w:num w:numId="10">
    <w:abstractNumId w:val="11"/>
  </w:num>
  <w:num w:numId="11">
    <w:abstractNumId w:val="24"/>
  </w:num>
  <w:num w:numId="12">
    <w:abstractNumId w:val="7"/>
  </w:num>
  <w:num w:numId="13">
    <w:abstractNumId w:val="13"/>
  </w:num>
  <w:num w:numId="14">
    <w:abstractNumId w:val="23"/>
  </w:num>
  <w:num w:numId="15">
    <w:abstractNumId w:val="17"/>
  </w:num>
  <w:num w:numId="16">
    <w:abstractNumId w:val="8"/>
  </w:num>
  <w:num w:numId="17">
    <w:abstractNumId w:val="32"/>
  </w:num>
  <w:num w:numId="18">
    <w:abstractNumId w:val="31"/>
  </w:num>
  <w:num w:numId="19">
    <w:abstractNumId w:val="20"/>
  </w:num>
  <w:num w:numId="20">
    <w:abstractNumId w:val="25"/>
  </w:num>
  <w:num w:numId="21">
    <w:abstractNumId w:val="19"/>
  </w:num>
  <w:num w:numId="22">
    <w:abstractNumId w:val="1"/>
  </w:num>
  <w:num w:numId="23">
    <w:abstractNumId w:val="5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12"/>
  </w:num>
  <w:num w:numId="29">
    <w:abstractNumId w:val="14"/>
  </w:num>
  <w:num w:numId="30">
    <w:abstractNumId w:val="9"/>
  </w:num>
  <w:num w:numId="31">
    <w:abstractNumId w:val="22"/>
  </w:num>
  <w:num w:numId="32">
    <w:abstractNumId w:val="16"/>
  </w:num>
  <w:num w:numId="33">
    <w:abstractNumId w:val="6"/>
  </w:num>
  <w:num w:numId="3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5D7F"/>
    <w:rsid w:val="00007041"/>
    <w:rsid w:val="00016535"/>
    <w:rsid w:val="000212EC"/>
    <w:rsid w:val="00024CD4"/>
    <w:rsid w:val="00026645"/>
    <w:rsid w:val="00031E68"/>
    <w:rsid w:val="00032FD3"/>
    <w:rsid w:val="00033D5B"/>
    <w:rsid w:val="00041988"/>
    <w:rsid w:val="00044CC2"/>
    <w:rsid w:val="00044EAE"/>
    <w:rsid w:val="0005612B"/>
    <w:rsid w:val="000605BB"/>
    <w:rsid w:val="00073136"/>
    <w:rsid w:val="00076222"/>
    <w:rsid w:val="000A1890"/>
    <w:rsid w:val="000A2AAA"/>
    <w:rsid w:val="000B0FBC"/>
    <w:rsid w:val="000C3D00"/>
    <w:rsid w:val="000C62A2"/>
    <w:rsid w:val="000D1A8F"/>
    <w:rsid w:val="000F2C70"/>
    <w:rsid w:val="001043F6"/>
    <w:rsid w:val="00104EEB"/>
    <w:rsid w:val="00111373"/>
    <w:rsid w:val="00112818"/>
    <w:rsid w:val="001144DC"/>
    <w:rsid w:val="00114DBF"/>
    <w:rsid w:val="00126C56"/>
    <w:rsid w:val="00127219"/>
    <w:rsid w:val="0013510C"/>
    <w:rsid w:val="00140849"/>
    <w:rsid w:val="001454B7"/>
    <w:rsid w:val="00153773"/>
    <w:rsid w:val="00154FF8"/>
    <w:rsid w:val="001779C8"/>
    <w:rsid w:val="0018607A"/>
    <w:rsid w:val="00194352"/>
    <w:rsid w:val="00194BBD"/>
    <w:rsid w:val="001B2AEE"/>
    <w:rsid w:val="001C3C97"/>
    <w:rsid w:val="001D5CE5"/>
    <w:rsid w:val="001D749D"/>
    <w:rsid w:val="001E0EF1"/>
    <w:rsid w:val="0021059D"/>
    <w:rsid w:val="002134C9"/>
    <w:rsid w:val="00222276"/>
    <w:rsid w:val="00252B41"/>
    <w:rsid w:val="002562FA"/>
    <w:rsid w:val="00266E0F"/>
    <w:rsid w:val="002738F9"/>
    <w:rsid w:val="00274F27"/>
    <w:rsid w:val="00276E66"/>
    <w:rsid w:val="00284AB0"/>
    <w:rsid w:val="00285B13"/>
    <w:rsid w:val="002948FF"/>
    <w:rsid w:val="002972B7"/>
    <w:rsid w:val="002A274D"/>
    <w:rsid w:val="002A5B21"/>
    <w:rsid w:val="002B162B"/>
    <w:rsid w:val="002B2343"/>
    <w:rsid w:val="002B5FC9"/>
    <w:rsid w:val="002B72F3"/>
    <w:rsid w:val="002C24C8"/>
    <w:rsid w:val="002C4EFD"/>
    <w:rsid w:val="002C57AC"/>
    <w:rsid w:val="002C656D"/>
    <w:rsid w:val="002D0C8B"/>
    <w:rsid w:val="002E003F"/>
    <w:rsid w:val="002E7927"/>
    <w:rsid w:val="003105DC"/>
    <w:rsid w:val="00337A40"/>
    <w:rsid w:val="0034266A"/>
    <w:rsid w:val="00342ED5"/>
    <w:rsid w:val="0034417B"/>
    <w:rsid w:val="00344198"/>
    <w:rsid w:val="0035494F"/>
    <w:rsid w:val="00356A2B"/>
    <w:rsid w:val="00360564"/>
    <w:rsid w:val="00366F52"/>
    <w:rsid w:val="00380980"/>
    <w:rsid w:val="00386476"/>
    <w:rsid w:val="003B17AB"/>
    <w:rsid w:val="003C4E3C"/>
    <w:rsid w:val="003D3FBA"/>
    <w:rsid w:val="003E3570"/>
    <w:rsid w:val="003E75B6"/>
    <w:rsid w:val="003F670D"/>
    <w:rsid w:val="0040315C"/>
    <w:rsid w:val="00406FB8"/>
    <w:rsid w:val="00412A3F"/>
    <w:rsid w:val="00417FC9"/>
    <w:rsid w:val="0042491A"/>
    <w:rsid w:val="00430334"/>
    <w:rsid w:val="00430AB1"/>
    <w:rsid w:val="00431CD3"/>
    <w:rsid w:val="0043338E"/>
    <w:rsid w:val="00446818"/>
    <w:rsid w:val="00453327"/>
    <w:rsid w:val="00461B15"/>
    <w:rsid w:val="00462395"/>
    <w:rsid w:val="00475C2B"/>
    <w:rsid w:val="00482475"/>
    <w:rsid w:val="00496D0C"/>
    <w:rsid w:val="004A41EF"/>
    <w:rsid w:val="004B2C35"/>
    <w:rsid w:val="004B3124"/>
    <w:rsid w:val="004B74CC"/>
    <w:rsid w:val="004F33C6"/>
    <w:rsid w:val="00505C90"/>
    <w:rsid w:val="005150C5"/>
    <w:rsid w:val="00517ADD"/>
    <w:rsid w:val="00530AB8"/>
    <w:rsid w:val="005363A1"/>
    <w:rsid w:val="0053782C"/>
    <w:rsid w:val="00542D13"/>
    <w:rsid w:val="00546CF4"/>
    <w:rsid w:val="00550F71"/>
    <w:rsid w:val="00555942"/>
    <w:rsid w:val="00556671"/>
    <w:rsid w:val="005578A1"/>
    <w:rsid w:val="005639B5"/>
    <w:rsid w:val="005811A6"/>
    <w:rsid w:val="005954E4"/>
    <w:rsid w:val="0059683F"/>
    <w:rsid w:val="005A114F"/>
    <w:rsid w:val="005B1AD1"/>
    <w:rsid w:val="005B6997"/>
    <w:rsid w:val="005D45F7"/>
    <w:rsid w:val="005D57A7"/>
    <w:rsid w:val="005F38F3"/>
    <w:rsid w:val="005F5A01"/>
    <w:rsid w:val="005F7A0E"/>
    <w:rsid w:val="006134C7"/>
    <w:rsid w:val="006142C5"/>
    <w:rsid w:val="0061765C"/>
    <w:rsid w:val="00622A7B"/>
    <w:rsid w:val="00626534"/>
    <w:rsid w:val="00627F77"/>
    <w:rsid w:val="00631A14"/>
    <w:rsid w:val="00635837"/>
    <w:rsid w:val="00636D7B"/>
    <w:rsid w:val="006531B1"/>
    <w:rsid w:val="00661178"/>
    <w:rsid w:val="006765F4"/>
    <w:rsid w:val="00687ACA"/>
    <w:rsid w:val="006A45D6"/>
    <w:rsid w:val="006D54CF"/>
    <w:rsid w:val="006F0EC9"/>
    <w:rsid w:val="007003F1"/>
    <w:rsid w:val="00702BAF"/>
    <w:rsid w:val="00704C59"/>
    <w:rsid w:val="00732388"/>
    <w:rsid w:val="00745905"/>
    <w:rsid w:val="00750A0B"/>
    <w:rsid w:val="007541B8"/>
    <w:rsid w:val="007544F6"/>
    <w:rsid w:val="00766F27"/>
    <w:rsid w:val="007762A6"/>
    <w:rsid w:val="0078114E"/>
    <w:rsid w:val="007879E8"/>
    <w:rsid w:val="00791540"/>
    <w:rsid w:val="0079195E"/>
    <w:rsid w:val="007A1B25"/>
    <w:rsid w:val="007B1244"/>
    <w:rsid w:val="007D61E0"/>
    <w:rsid w:val="007E3FE1"/>
    <w:rsid w:val="007E554B"/>
    <w:rsid w:val="007E6FF6"/>
    <w:rsid w:val="007F07F8"/>
    <w:rsid w:val="007F128C"/>
    <w:rsid w:val="007F4D2C"/>
    <w:rsid w:val="008144EA"/>
    <w:rsid w:val="00824EBE"/>
    <w:rsid w:val="0082513E"/>
    <w:rsid w:val="008273C9"/>
    <w:rsid w:val="008575B7"/>
    <w:rsid w:val="0086332B"/>
    <w:rsid w:val="00873C38"/>
    <w:rsid w:val="00882785"/>
    <w:rsid w:val="0089138A"/>
    <w:rsid w:val="00893CB1"/>
    <w:rsid w:val="00894787"/>
    <w:rsid w:val="00895000"/>
    <w:rsid w:val="008A25E9"/>
    <w:rsid w:val="008A65A1"/>
    <w:rsid w:val="008B1FDC"/>
    <w:rsid w:val="008B24BF"/>
    <w:rsid w:val="008D0789"/>
    <w:rsid w:val="008D6AE1"/>
    <w:rsid w:val="008E5031"/>
    <w:rsid w:val="008F103C"/>
    <w:rsid w:val="009041E5"/>
    <w:rsid w:val="00905E3A"/>
    <w:rsid w:val="00911E05"/>
    <w:rsid w:val="00911EFA"/>
    <w:rsid w:val="009169C4"/>
    <w:rsid w:val="00916E49"/>
    <w:rsid w:val="00923A3D"/>
    <w:rsid w:val="00931DE7"/>
    <w:rsid w:val="00933B75"/>
    <w:rsid w:val="00933BA9"/>
    <w:rsid w:val="00950264"/>
    <w:rsid w:val="00952748"/>
    <w:rsid w:val="009561E2"/>
    <w:rsid w:val="00977119"/>
    <w:rsid w:val="00980153"/>
    <w:rsid w:val="00983F09"/>
    <w:rsid w:val="009A42CA"/>
    <w:rsid w:val="009A55AA"/>
    <w:rsid w:val="009B15B5"/>
    <w:rsid w:val="009B314B"/>
    <w:rsid w:val="009C255E"/>
    <w:rsid w:val="009D1C4F"/>
    <w:rsid w:val="009E0E57"/>
    <w:rsid w:val="009F58CE"/>
    <w:rsid w:val="009F6A2F"/>
    <w:rsid w:val="009F7D20"/>
    <w:rsid w:val="00A03425"/>
    <w:rsid w:val="00A1036A"/>
    <w:rsid w:val="00A159B3"/>
    <w:rsid w:val="00A352F0"/>
    <w:rsid w:val="00A36981"/>
    <w:rsid w:val="00A41183"/>
    <w:rsid w:val="00A41EE3"/>
    <w:rsid w:val="00A71667"/>
    <w:rsid w:val="00A805B9"/>
    <w:rsid w:val="00A80971"/>
    <w:rsid w:val="00A93DEE"/>
    <w:rsid w:val="00A95A78"/>
    <w:rsid w:val="00AA1820"/>
    <w:rsid w:val="00AB0CDF"/>
    <w:rsid w:val="00AB26E1"/>
    <w:rsid w:val="00AD1997"/>
    <w:rsid w:val="00AD4E02"/>
    <w:rsid w:val="00AE0CC6"/>
    <w:rsid w:val="00AE79CA"/>
    <w:rsid w:val="00AF13FC"/>
    <w:rsid w:val="00B0669A"/>
    <w:rsid w:val="00B07AF0"/>
    <w:rsid w:val="00B1512A"/>
    <w:rsid w:val="00B22D4A"/>
    <w:rsid w:val="00B23071"/>
    <w:rsid w:val="00B23EB7"/>
    <w:rsid w:val="00B526EB"/>
    <w:rsid w:val="00B55DA1"/>
    <w:rsid w:val="00B657B2"/>
    <w:rsid w:val="00B706ED"/>
    <w:rsid w:val="00B72388"/>
    <w:rsid w:val="00B8169D"/>
    <w:rsid w:val="00B875E8"/>
    <w:rsid w:val="00B959B3"/>
    <w:rsid w:val="00BB4479"/>
    <w:rsid w:val="00BB5FC3"/>
    <w:rsid w:val="00BB64B1"/>
    <w:rsid w:val="00BB761F"/>
    <w:rsid w:val="00BD025D"/>
    <w:rsid w:val="00BD76CD"/>
    <w:rsid w:val="00BF1113"/>
    <w:rsid w:val="00BF6DEF"/>
    <w:rsid w:val="00BF6F14"/>
    <w:rsid w:val="00C019FA"/>
    <w:rsid w:val="00C04914"/>
    <w:rsid w:val="00C07A2A"/>
    <w:rsid w:val="00C110AC"/>
    <w:rsid w:val="00C22764"/>
    <w:rsid w:val="00C231D3"/>
    <w:rsid w:val="00C36E32"/>
    <w:rsid w:val="00C40398"/>
    <w:rsid w:val="00C42379"/>
    <w:rsid w:val="00C479DD"/>
    <w:rsid w:val="00C66A4A"/>
    <w:rsid w:val="00C70DE0"/>
    <w:rsid w:val="00C84FE2"/>
    <w:rsid w:val="00C8551D"/>
    <w:rsid w:val="00C86492"/>
    <w:rsid w:val="00C90C2B"/>
    <w:rsid w:val="00CA41ED"/>
    <w:rsid w:val="00CB3368"/>
    <w:rsid w:val="00CC1A38"/>
    <w:rsid w:val="00CD12E3"/>
    <w:rsid w:val="00CD3E0B"/>
    <w:rsid w:val="00CE6DE0"/>
    <w:rsid w:val="00CF198F"/>
    <w:rsid w:val="00D046B5"/>
    <w:rsid w:val="00D06BC0"/>
    <w:rsid w:val="00D114EF"/>
    <w:rsid w:val="00D20B34"/>
    <w:rsid w:val="00D263F1"/>
    <w:rsid w:val="00D313A3"/>
    <w:rsid w:val="00D405D0"/>
    <w:rsid w:val="00D511DA"/>
    <w:rsid w:val="00D54523"/>
    <w:rsid w:val="00D60254"/>
    <w:rsid w:val="00D623A6"/>
    <w:rsid w:val="00D941E0"/>
    <w:rsid w:val="00D94316"/>
    <w:rsid w:val="00D97A9D"/>
    <w:rsid w:val="00DB7916"/>
    <w:rsid w:val="00DC24CB"/>
    <w:rsid w:val="00DC3467"/>
    <w:rsid w:val="00DE3E8D"/>
    <w:rsid w:val="00DF26C5"/>
    <w:rsid w:val="00E03C95"/>
    <w:rsid w:val="00E106B9"/>
    <w:rsid w:val="00E11B95"/>
    <w:rsid w:val="00E1301D"/>
    <w:rsid w:val="00E24D94"/>
    <w:rsid w:val="00E438A0"/>
    <w:rsid w:val="00E44E6E"/>
    <w:rsid w:val="00E54932"/>
    <w:rsid w:val="00E55EB5"/>
    <w:rsid w:val="00E56A0E"/>
    <w:rsid w:val="00E60D90"/>
    <w:rsid w:val="00E63417"/>
    <w:rsid w:val="00E819FF"/>
    <w:rsid w:val="00E81BAE"/>
    <w:rsid w:val="00EA04A3"/>
    <w:rsid w:val="00EA73C1"/>
    <w:rsid w:val="00EB54F6"/>
    <w:rsid w:val="00EC0F55"/>
    <w:rsid w:val="00EC2200"/>
    <w:rsid w:val="00EC2A35"/>
    <w:rsid w:val="00ED6081"/>
    <w:rsid w:val="00ED6BF0"/>
    <w:rsid w:val="00ED7653"/>
    <w:rsid w:val="00EE18CC"/>
    <w:rsid w:val="00EF0866"/>
    <w:rsid w:val="00EF7114"/>
    <w:rsid w:val="00EF7A4E"/>
    <w:rsid w:val="00F04945"/>
    <w:rsid w:val="00F05BCC"/>
    <w:rsid w:val="00F151E3"/>
    <w:rsid w:val="00F17D02"/>
    <w:rsid w:val="00F2594D"/>
    <w:rsid w:val="00F26B9A"/>
    <w:rsid w:val="00F352A5"/>
    <w:rsid w:val="00F36D7D"/>
    <w:rsid w:val="00F37734"/>
    <w:rsid w:val="00F43CD1"/>
    <w:rsid w:val="00F474AC"/>
    <w:rsid w:val="00F50376"/>
    <w:rsid w:val="00F52A5A"/>
    <w:rsid w:val="00F54B06"/>
    <w:rsid w:val="00F763E7"/>
    <w:rsid w:val="00F8700C"/>
    <w:rsid w:val="00F87CB0"/>
    <w:rsid w:val="00FA48C3"/>
    <w:rsid w:val="00FC75C4"/>
    <w:rsid w:val="00FC7F0C"/>
    <w:rsid w:val="00FF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F09A3225-2B04-F747-8CD7-912C3BC8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2A6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F47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 Ye</dc:creator>
  <cp:keywords/>
  <dc:description/>
  <cp:lastModifiedBy>Sigen Ye</cp:lastModifiedBy>
  <cp:revision>7</cp:revision>
  <cp:lastPrinted>2019-11-08T00:46:00Z</cp:lastPrinted>
  <dcterms:created xsi:type="dcterms:W3CDTF">2020-05-16T02:53:00Z</dcterms:created>
  <dcterms:modified xsi:type="dcterms:W3CDTF">2020-08-07T23:23:00Z</dcterms:modified>
  <cp:category/>
</cp:coreProperties>
</file>